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D7139" w:rsidRDefault="009D7139" w:rsidP="009D7139">
      <w:pPr>
        <w:tabs>
          <w:tab w:val="left" w:pos="2730"/>
          <w:tab w:val="center" w:pos="4513"/>
        </w:tabs>
        <w:rPr>
          <w:b w:val="0"/>
        </w:rPr>
      </w:pPr>
    </w:p>
    <w:p w:rsidR="009D7139" w:rsidRDefault="009D7139" w:rsidP="009D7139">
      <w:pPr>
        <w:tabs>
          <w:tab w:val="left" w:pos="2730"/>
          <w:tab w:val="center" w:pos="4513"/>
        </w:tabs>
        <w:rPr>
          <w:b w:val="0"/>
        </w:rPr>
      </w:pPr>
    </w:p>
    <w:p w:rsidR="009D7139" w:rsidRDefault="009D7139" w:rsidP="009D7139">
      <w:pPr>
        <w:tabs>
          <w:tab w:val="left" w:pos="2730"/>
          <w:tab w:val="center" w:pos="4513"/>
        </w:tabs>
        <w:rPr>
          <w:b w:val="0"/>
        </w:rPr>
      </w:pPr>
    </w:p>
    <w:p w:rsidR="009D7139" w:rsidRDefault="009D7139" w:rsidP="009D7139">
      <w:pPr>
        <w:tabs>
          <w:tab w:val="left" w:pos="2730"/>
          <w:tab w:val="center" w:pos="4513"/>
        </w:tabs>
        <w:rPr>
          <w:b w:val="0"/>
        </w:rPr>
      </w:pPr>
    </w:p>
    <w:p w:rsidR="009D7139" w:rsidRDefault="009D7139" w:rsidP="009D7139">
      <w:pPr>
        <w:tabs>
          <w:tab w:val="left" w:pos="2730"/>
          <w:tab w:val="center" w:pos="4513"/>
        </w:tabs>
        <w:rPr>
          <w:b w:val="0"/>
        </w:rPr>
      </w:pPr>
    </w:p>
    <w:p w:rsidR="009D7139" w:rsidRDefault="009D7139" w:rsidP="009D7139">
      <w:pPr>
        <w:tabs>
          <w:tab w:val="left" w:pos="2730"/>
          <w:tab w:val="center" w:pos="4513"/>
        </w:tabs>
        <w:rPr>
          <w:b w:val="0"/>
        </w:rPr>
      </w:pPr>
    </w:p>
    <w:p w:rsidR="009D7139" w:rsidRDefault="009D7139" w:rsidP="009D7139">
      <w:pPr>
        <w:tabs>
          <w:tab w:val="left" w:pos="2730"/>
          <w:tab w:val="center" w:pos="4513"/>
        </w:tabs>
        <w:rPr>
          <w:b w:val="0"/>
        </w:rPr>
      </w:pPr>
    </w:p>
    <w:p w:rsidR="00F84FBF" w:rsidRPr="009D7139" w:rsidRDefault="00522EED" w:rsidP="009D7139">
      <w:pPr>
        <w:tabs>
          <w:tab w:val="left" w:pos="2730"/>
          <w:tab w:val="center" w:pos="4513"/>
        </w:tabs>
        <w:rPr>
          <w:b w:val="0"/>
        </w:rPr>
      </w:pPr>
      <w:r w:rsidRPr="009D7139">
        <w:rPr>
          <w:b w:val="0"/>
        </w:rPr>
        <w:t>Stock Market and Bond Market</w:t>
      </w:r>
    </w:p>
    <w:p w:rsidR="009D7139" w:rsidRPr="009D7139" w:rsidRDefault="00522EED" w:rsidP="009D7139">
      <w:pPr>
        <w:tabs>
          <w:tab w:val="left" w:pos="2730"/>
          <w:tab w:val="center" w:pos="4513"/>
        </w:tabs>
        <w:rPr>
          <w:b w:val="0"/>
        </w:rPr>
      </w:pPr>
      <w:r w:rsidRPr="009D7139">
        <w:rPr>
          <w:b w:val="0"/>
        </w:rPr>
        <w:t>Student’s Name</w:t>
      </w:r>
    </w:p>
    <w:p w:rsidR="009D7139" w:rsidRPr="009D7139" w:rsidRDefault="00522EED" w:rsidP="009D7139">
      <w:pPr>
        <w:tabs>
          <w:tab w:val="left" w:pos="2730"/>
          <w:tab w:val="center" w:pos="4513"/>
        </w:tabs>
        <w:rPr>
          <w:b w:val="0"/>
        </w:rPr>
      </w:pPr>
      <w:r w:rsidRPr="009D7139">
        <w:rPr>
          <w:b w:val="0"/>
        </w:rPr>
        <w:t>Institution Affiliation</w:t>
      </w:r>
    </w:p>
    <w:p w:rsidR="009D7139" w:rsidRDefault="00522EED" w:rsidP="009D7139">
      <w:pPr>
        <w:tabs>
          <w:tab w:val="left" w:pos="2730"/>
          <w:tab w:val="center" w:pos="4513"/>
        </w:tabs>
        <w:rPr>
          <w:b w:val="0"/>
        </w:rPr>
      </w:pPr>
      <w:r w:rsidRPr="009D7139">
        <w:rPr>
          <w:b w:val="0"/>
        </w:rPr>
        <w:t xml:space="preserve">Date </w:t>
      </w:r>
    </w:p>
    <w:p w:rsidR="009D7139" w:rsidRDefault="009D7139" w:rsidP="009D7139">
      <w:pPr>
        <w:jc w:val="both"/>
        <w:rPr>
          <w:b w:val="0"/>
        </w:rPr>
      </w:pPr>
    </w:p>
    <w:p w:rsidR="009D7139" w:rsidRDefault="009D7139" w:rsidP="009D7139">
      <w:pPr>
        <w:jc w:val="both"/>
        <w:rPr>
          <w:b w:val="0"/>
        </w:rPr>
      </w:pPr>
    </w:p>
    <w:p w:rsidR="009D7139" w:rsidRDefault="009D7139" w:rsidP="009D7139">
      <w:pPr>
        <w:jc w:val="both"/>
        <w:rPr>
          <w:b w:val="0"/>
        </w:rPr>
      </w:pPr>
    </w:p>
    <w:p w:rsidR="009D7139" w:rsidRDefault="009D7139" w:rsidP="009D7139">
      <w:pPr>
        <w:jc w:val="both"/>
        <w:rPr>
          <w:b w:val="0"/>
        </w:rPr>
      </w:pPr>
    </w:p>
    <w:p w:rsidR="009D7139" w:rsidRDefault="009D7139" w:rsidP="009D7139">
      <w:pPr>
        <w:jc w:val="both"/>
        <w:rPr>
          <w:b w:val="0"/>
        </w:rPr>
      </w:pPr>
    </w:p>
    <w:p w:rsidR="009D7139" w:rsidRDefault="009D7139" w:rsidP="009D7139">
      <w:pPr>
        <w:jc w:val="both"/>
        <w:rPr>
          <w:b w:val="0"/>
        </w:rPr>
      </w:pPr>
    </w:p>
    <w:p w:rsidR="009D7139" w:rsidRDefault="009D7139" w:rsidP="009D7139">
      <w:pPr>
        <w:jc w:val="both"/>
        <w:rPr>
          <w:b w:val="0"/>
        </w:rPr>
      </w:pPr>
    </w:p>
    <w:p w:rsidR="009D7139" w:rsidRDefault="009D7139" w:rsidP="009D7139">
      <w:pPr>
        <w:jc w:val="both"/>
        <w:rPr>
          <w:b w:val="0"/>
        </w:rPr>
      </w:pPr>
    </w:p>
    <w:p w:rsidR="009D7139" w:rsidRDefault="009D7139" w:rsidP="009D7139">
      <w:pPr>
        <w:jc w:val="both"/>
        <w:rPr>
          <w:b w:val="0"/>
        </w:rPr>
      </w:pPr>
    </w:p>
    <w:p w:rsidR="009D7139" w:rsidRDefault="009D7139" w:rsidP="009D7139">
      <w:pPr>
        <w:jc w:val="both"/>
        <w:rPr>
          <w:b w:val="0"/>
        </w:rPr>
      </w:pPr>
    </w:p>
    <w:p w:rsidR="009D7139" w:rsidRDefault="009D7139" w:rsidP="009D7139">
      <w:pPr>
        <w:jc w:val="both"/>
        <w:rPr>
          <w:b w:val="0"/>
        </w:rPr>
      </w:pPr>
    </w:p>
    <w:p w:rsidR="009D7139" w:rsidRDefault="009D7139" w:rsidP="009D7139">
      <w:pPr>
        <w:jc w:val="both"/>
        <w:rPr>
          <w:b w:val="0"/>
        </w:rPr>
      </w:pPr>
    </w:p>
    <w:p w:rsidR="009D7139" w:rsidRDefault="009D7139" w:rsidP="009D7139">
      <w:pPr>
        <w:jc w:val="both"/>
        <w:rPr>
          <w:b w:val="0"/>
        </w:rPr>
      </w:pPr>
    </w:p>
    <w:p w:rsidR="009D7139" w:rsidRDefault="009D7139" w:rsidP="009D7139">
      <w:pPr>
        <w:jc w:val="both"/>
        <w:rPr>
          <w:b w:val="0"/>
        </w:rPr>
      </w:pPr>
    </w:p>
    <w:p w:rsidR="009D7139" w:rsidRDefault="00522EED" w:rsidP="009D7139">
      <w:pPr>
        <w:rPr>
          <w:b w:val="0"/>
        </w:rPr>
      </w:pPr>
      <w:r w:rsidRPr="009D7139">
        <w:rPr>
          <w:b w:val="0"/>
        </w:rPr>
        <w:t>Stock Market and Bond Market</w:t>
      </w:r>
    </w:p>
    <w:p w:rsidR="009D7139" w:rsidRDefault="00522EED" w:rsidP="00172D15">
      <w:pPr>
        <w:ind w:firstLine="720"/>
        <w:contextualSpacing/>
        <w:jc w:val="left"/>
        <w:rPr>
          <w:b w:val="0"/>
        </w:rPr>
      </w:pPr>
      <w:r w:rsidRPr="009D7139">
        <w:rPr>
          <w:b w:val="0"/>
        </w:rPr>
        <w:lastRenderedPageBreak/>
        <w:t>Market efficiency is defined as the degree to which the stock market and other stock markets reflect all</w:t>
      </w:r>
      <w:r>
        <w:rPr>
          <w:b w:val="0"/>
        </w:rPr>
        <w:t xml:space="preserve"> available relevant information. </w:t>
      </w:r>
      <w:r w:rsidRPr="009D7139">
        <w:rPr>
          <w:b w:val="0"/>
        </w:rPr>
        <w:t>Efficacy generally signifies a degree of performance that shows a process that uses the lowest amount of inputs to create</w:t>
      </w:r>
      <w:r>
        <w:rPr>
          <w:b w:val="0"/>
        </w:rPr>
        <w:t xml:space="preserve"> the most significant amounts of output</w:t>
      </w:r>
      <w:r w:rsidRPr="009D7139">
        <w:rPr>
          <w:b w:val="0"/>
        </w:rPr>
        <w:t>. It shows how well money that is invested in each product prod</w:t>
      </w:r>
      <w:r w:rsidRPr="009D7139">
        <w:rPr>
          <w:b w:val="0"/>
        </w:rPr>
        <w:t>uces a particular outcome or revenue. There are various types of efficiency. Informational efficiency is the degree to which market prices correctly and quickly reflect information and th</w:t>
      </w:r>
      <w:r>
        <w:rPr>
          <w:b w:val="0"/>
        </w:rPr>
        <w:t xml:space="preserve">e actual value of an underlying asset. </w:t>
      </w:r>
      <w:r w:rsidRPr="009D7139">
        <w:rPr>
          <w:b w:val="0"/>
        </w:rPr>
        <w:t>Operational efficiency entails</w:t>
      </w:r>
      <w:r w:rsidRPr="009D7139">
        <w:rPr>
          <w:b w:val="0"/>
        </w:rPr>
        <w:t xml:space="preserve"> a combination of processes or </w:t>
      </w:r>
      <w:r w:rsidR="00172D15" w:rsidRPr="009D7139">
        <w:rPr>
          <w:b w:val="0"/>
        </w:rPr>
        <w:t>procedures,</w:t>
      </w:r>
      <w:r w:rsidRPr="009D7139">
        <w:rPr>
          <w:b w:val="0"/>
        </w:rPr>
        <w:t xml:space="preserve"> </w:t>
      </w:r>
      <w:r w:rsidR="00172D15" w:rsidRPr="009D7139">
        <w:rPr>
          <w:b w:val="0"/>
        </w:rPr>
        <w:t>machinery,</w:t>
      </w:r>
      <w:r w:rsidRPr="009D7139">
        <w:rPr>
          <w:b w:val="0"/>
        </w:rPr>
        <w:t xml:space="preserve"> technology, and people working to optimize and promote a business's growth. The Efficient Market Hypothesis entails all available information such as public information, previous prices in the market, a</w:t>
      </w:r>
      <w:r w:rsidRPr="009D7139">
        <w:rPr>
          <w:b w:val="0"/>
        </w:rPr>
        <w:t>nd current prices that reflect all available informatio</w:t>
      </w:r>
      <w:r>
        <w:rPr>
          <w:b w:val="0"/>
        </w:rPr>
        <w:t>n</w:t>
      </w:r>
      <w:r w:rsidRPr="009D7139">
        <w:rPr>
          <w:b w:val="0"/>
        </w:rPr>
        <w:t>.</w:t>
      </w:r>
    </w:p>
    <w:p w:rsidR="009D7139" w:rsidRDefault="00522EED" w:rsidP="00172D15">
      <w:pPr>
        <w:ind w:firstLine="720"/>
        <w:contextualSpacing/>
        <w:jc w:val="left"/>
        <w:rPr>
          <w:b w:val="0"/>
        </w:rPr>
      </w:pPr>
      <w:r w:rsidRPr="009D7139">
        <w:rPr>
          <w:b w:val="0"/>
        </w:rPr>
        <w:t>There are three forms of efficient market hypothesis ranging from weak, semi-strong to the firm. Common type notes that past stock quantities and stock values will not help forecast future stock pri</w:t>
      </w:r>
      <w:r w:rsidRPr="009D7139">
        <w:rPr>
          <w:b w:val="0"/>
        </w:rPr>
        <w:t>ces. In general, it is valuable for individuals who are involved in designing investing plans based on recent or histological prices and data claims. The most commonly used is the semi-strong form. This includes historical knowledge as well as new informat</w:t>
      </w:r>
      <w:r w:rsidRPr="009D7139">
        <w:rPr>
          <w:b w:val="0"/>
        </w:rPr>
        <w:t>ion that is open to the media. Investors compare them and pick their routes for acquisition. The Strong Type holds that investors should not use this expertise to invest with some form of preliminary and privileged informa</w:t>
      </w:r>
      <w:r w:rsidR="00800368">
        <w:rPr>
          <w:b w:val="0"/>
        </w:rPr>
        <w:t>tion</w:t>
      </w:r>
      <w:r>
        <w:rPr>
          <w:b w:val="0"/>
        </w:rPr>
        <w:t>.</w:t>
      </w:r>
    </w:p>
    <w:p w:rsidR="009D7139" w:rsidRDefault="00522EED" w:rsidP="00172D15">
      <w:pPr>
        <w:ind w:firstLine="720"/>
        <w:contextualSpacing/>
        <w:jc w:val="left"/>
        <w:rPr>
          <w:b w:val="0"/>
        </w:rPr>
      </w:pPr>
      <w:r w:rsidRPr="009D7139">
        <w:rPr>
          <w:b w:val="0"/>
        </w:rPr>
        <w:t>The Singapore Stock Exchange</w:t>
      </w:r>
      <w:r w:rsidRPr="009D7139">
        <w:rPr>
          <w:b w:val="0"/>
        </w:rPr>
        <w:t xml:space="preserve"> was formed on 1999 December 1. It is an investment holding company. It is a powerful and leading exchange platform for shares and stocks, bonds, dentures, and exchange-traded funds in Singapore, and it is highly diversified. Very strong external, internat</w:t>
      </w:r>
      <w:r w:rsidRPr="009D7139">
        <w:rPr>
          <w:b w:val="0"/>
        </w:rPr>
        <w:t>ional position, with reserves at 100% of the total GDP, implies that Singapore is among the three countries in the world outside Europe and U.K., to sustain a high sovereign rate by Fit</w:t>
      </w:r>
      <w:r>
        <w:rPr>
          <w:b w:val="0"/>
        </w:rPr>
        <w:t>ch S&amp;P and Moor</w:t>
      </w:r>
      <w:r w:rsidRPr="009D7139">
        <w:rPr>
          <w:b w:val="0"/>
        </w:rPr>
        <w:t>. Its history came into existence as a result of a merge</w:t>
      </w:r>
      <w:r w:rsidRPr="009D7139">
        <w:rPr>
          <w:b w:val="0"/>
        </w:rPr>
        <w:t xml:space="preserve">r between the Stock Exchange of Singapore and Singapore International monetary fund </w:t>
      </w:r>
      <w:r w:rsidRPr="009D7139">
        <w:rPr>
          <w:b w:val="0"/>
        </w:rPr>
        <w:lastRenderedPageBreak/>
        <w:t>to form The Singapore Stock Exchang</w:t>
      </w:r>
      <w:r>
        <w:rPr>
          <w:b w:val="0"/>
        </w:rPr>
        <w:t>e</w:t>
      </w:r>
      <w:r w:rsidRPr="009D7139">
        <w:rPr>
          <w:b w:val="0"/>
        </w:rPr>
        <w:t>.</w:t>
      </w:r>
      <w:r w:rsidR="00AC420F">
        <w:rPr>
          <w:b w:val="0"/>
        </w:rPr>
        <w:t xml:space="preserve"> </w:t>
      </w:r>
      <w:r w:rsidR="00AC420F" w:rsidRPr="00AC420F">
        <w:rPr>
          <w:b w:val="0"/>
        </w:rPr>
        <w:t xml:space="preserve">There is a record of 378 investors with an outstanding 85% shareholding. 44974088 is the overall securities owned, with South-eastern Wealth Management being the largest investor. It has various divisions of all shares listed on the Singapore Stock Exchange, such as Electronic Trading Scheme, </w:t>
      </w:r>
      <w:proofErr w:type="spellStart"/>
      <w:r w:rsidR="00AC420F" w:rsidRPr="00AC420F">
        <w:rPr>
          <w:b w:val="0"/>
        </w:rPr>
        <w:t>Deverative</w:t>
      </w:r>
      <w:proofErr w:type="spellEnd"/>
      <w:r w:rsidR="00AC420F" w:rsidRPr="00AC420F">
        <w:rPr>
          <w:b w:val="0"/>
        </w:rPr>
        <w:t xml:space="preserve"> Trading and Clearing and Bond Trading.</w:t>
      </w:r>
    </w:p>
    <w:p w:rsidR="00AC420F" w:rsidRDefault="00522EED" w:rsidP="00172D15">
      <w:pPr>
        <w:ind w:firstLine="720"/>
        <w:contextualSpacing/>
        <w:jc w:val="left"/>
        <w:rPr>
          <w:b w:val="0"/>
        </w:rPr>
      </w:pPr>
      <w:r w:rsidRPr="00AC420F">
        <w:rPr>
          <w:b w:val="0"/>
        </w:rPr>
        <w:t>The Singapore Stock Exchange has come a long w</w:t>
      </w:r>
      <w:r w:rsidRPr="00AC420F">
        <w:rPr>
          <w:b w:val="0"/>
        </w:rPr>
        <w:t>ay compared with other stock exchanges. NYSE has a more significant and more global bearing than the Singapore Stock Exchange. It has a market cap of USD</w:t>
      </w:r>
      <w:r>
        <w:rPr>
          <w:b w:val="0"/>
        </w:rPr>
        <w:t xml:space="preserve"> 258 billion relatives to </w:t>
      </w:r>
      <w:r w:rsidRPr="00AC420F">
        <w:rPr>
          <w:b w:val="0"/>
        </w:rPr>
        <w:t xml:space="preserve">for Singapore Stock Exchange compared to </w:t>
      </w:r>
      <w:proofErr w:type="spellStart"/>
      <w:r w:rsidRPr="00AC420F">
        <w:rPr>
          <w:b w:val="0"/>
        </w:rPr>
        <w:t>Newyork</w:t>
      </w:r>
      <w:proofErr w:type="spellEnd"/>
      <w:r w:rsidRPr="00AC420F">
        <w:rPr>
          <w:b w:val="0"/>
        </w:rPr>
        <w:t xml:space="preserve"> Stock Exchange. Alliances fo</w:t>
      </w:r>
      <w:r w:rsidRPr="00AC420F">
        <w:rPr>
          <w:b w:val="0"/>
        </w:rPr>
        <w:t>r two or more firms include both NYSE and SGX. In 2005, NYSE merged with Euronext, creating the very first foreign exchange ever.</w:t>
      </w:r>
    </w:p>
    <w:p w:rsidR="00AC420F" w:rsidRDefault="00522EED" w:rsidP="00172D15">
      <w:pPr>
        <w:ind w:firstLine="720"/>
        <w:contextualSpacing/>
        <w:jc w:val="left"/>
        <w:rPr>
          <w:b w:val="0"/>
        </w:rPr>
      </w:pPr>
      <w:r w:rsidRPr="00AC420F">
        <w:rPr>
          <w:b w:val="0"/>
        </w:rPr>
        <w:t>In comparison, SGX is a territorial merger between the Singapore Stock Exchange and the International Monetary Fund of Singapo</w:t>
      </w:r>
      <w:r w:rsidRPr="00AC420F">
        <w:rPr>
          <w:b w:val="0"/>
        </w:rPr>
        <w:t xml:space="preserve">re to form the Singapore Stock Exchange. The Tokyo Stock Exchange acquired a 5% interest in SGX to add to this. In terms of numbers, the number of NYSE companies listed as of 2007 was 2122, while </w:t>
      </w:r>
      <w:r w:rsidR="003052BE">
        <w:rPr>
          <w:b w:val="0"/>
        </w:rPr>
        <w:t>SGX was 6888. (</w:t>
      </w:r>
      <w:proofErr w:type="spellStart"/>
      <w:r w:rsidR="003052BE">
        <w:rPr>
          <w:b w:val="0"/>
        </w:rPr>
        <w:t>Robiyanto</w:t>
      </w:r>
      <w:proofErr w:type="spellEnd"/>
      <w:r w:rsidR="003052BE">
        <w:rPr>
          <w:b w:val="0"/>
        </w:rPr>
        <w:t xml:space="preserve">, </w:t>
      </w:r>
      <w:r w:rsidR="003052BE" w:rsidRPr="00800368">
        <w:rPr>
          <w:b w:val="0"/>
        </w:rPr>
        <w:t>2017)</w:t>
      </w:r>
      <w:r w:rsidRPr="00AC420F">
        <w:rPr>
          <w:b w:val="0"/>
        </w:rPr>
        <w:t>).</w:t>
      </w:r>
    </w:p>
    <w:p w:rsidR="00AC420F" w:rsidRDefault="00522EED" w:rsidP="00172D15">
      <w:pPr>
        <w:ind w:firstLine="720"/>
        <w:contextualSpacing/>
        <w:jc w:val="left"/>
        <w:rPr>
          <w:b w:val="0"/>
        </w:rPr>
      </w:pPr>
      <w:r w:rsidRPr="00AC420F">
        <w:rPr>
          <w:b w:val="0"/>
        </w:rPr>
        <w:t>Compared with regional mar</w:t>
      </w:r>
      <w:r w:rsidRPr="00AC420F">
        <w:rPr>
          <w:b w:val="0"/>
        </w:rPr>
        <w:t xml:space="preserve">kets, SGX is a significant player in the Asian market, competing with the </w:t>
      </w:r>
      <w:proofErr w:type="spellStart"/>
      <w:r w:rsidRPr="00AC420F">
        <w:rPr>
          <w:b w:val="0"/>
        </w:rPr>
        <w:t>Hongkong</w:t>
      </w:r>
      <w:proofErr w:type="spellEnd"/>
      <w:r w:rsidRPr="00AC420F">
        <w:rPr>
          <w:b w:val="0"/>
        </w:rPr>
        <w:t xml:space="preserve"> Stock Exchange and the Tokyo Stock Exchange, and the Thailand Stock exchange. The SGX is regarded as the gateway to South East Asia as it has </w:t>
      </w:r>
      <w:r w:rsidR="00476D1A" w:rsidRPr="00AC420F">
        <w:rPr>
          <w:b w:val="0"/>
        </w:rPr>
        <w:t>maintained the</w:t>
      </w:r>
      <w:r w:rsidRPr="00AC420F">
        <w:rPr>
          <w:b w:val="0"/>
        </w:rPr>
        <w:t xml:space="preserve"> position </w:t>
      </w:r>
      <w:r w:rsidR="00476D1A" w:rsidRPr="00AC420F">
        <w:rPr>
          <w:b w:val="0"/>
        </w:rPr>
        <w:t>of leading</w:t>
      </w:r>
      <w:r w:rsidRPr="00AC420F">
        <w:rPr>
          <w:b w:val="0"/>
        </w:rPr>
        <w:t xml:space="preserve"> market for a long time. However, emerging markets such as Thailand Stock Exchange are proving to be viable competitors. In 2014 Thailand overtook SGX as the leading stock exchange market in South East </w:t>
      </w:r>
      <w:r w:rsidR="00476D1A" w:rsidRPr="00AC420F">
        <w:rPr>
          <w:b w:val="0"/>
        </w:rPr>
        <w:t>Asia, reducing</w:t>
      </w:r>
      <w:r w:rsidRPr="00AC420F">
        <w:rPr>
          <w:b w:val="0"/>
        </w:rPr>
        <w:t xml:space="preserve"> investor confidence in SGX</w:t>
      </w:r>
      <w:r w:rsidR="003052BE">
        <w:rPr>
          <w:b w:val="0"/>
        </w:rPr>
        <w:t xml:space="preserve"> (Lee, </w:t>
      </w:r>
      <w:r w:rsidR="003052BE" w:rsidRPr="003052BE">
        <w:rPr>
          <w:b w:val="0"/>
        </w:rPr>
        <w:t>2017)</w:t>
      </w:r>
      <w:r w:rsidRPr="00AC420F">
        <w:rPr>
          <w:b w:val="0"/>
        </w:rPr>
        <w:t>. The competitiveness in the region will lead to more significant market policies and more op</w:t>
      </w:r>
      <w:r w:rsidR="00476D1A">
        <w:rPr>
          <w:b w:val="0"/>
        </w:rPr>
        <w:t>p</w:t>
      </w:r>
      <w:r w:rsidRPr="00AC420F">
        <w:rPr>
          <w:b w:val="0"/>
        </w:rPr>
        <w:t>ortunities for investors.</w:t>
      </w:r>
    </w:p>
    <w:p w:rsidR="001B1A13" w:rsidRDefault="00522EED" w:rsidP="00172D15">
      <w:pPr>
        <w:ind w:firstLine="720"/>
        <w:contextualSpacing/>
        <w:jc w:val="left"/>
        <w:rPr>
          <w:b w:val="0"/>
        </w:rPr>
      </w:pPr>
      <w:r w:rsidRPr="001B1A13">
        <w:rPr>
          <w:b w:val="0"/>
        </w:rPr>
        <w:t>There have been many reforms and enhancements in</w:t>
      </w:r>
      <w:r>
        <w:rPr>
          <w:b w:val="0"/>
        </w:rPr>
        <w:t xml:space="preserve"> the SGX in recent </w:t>
      </w:r>
      <w:r w:rsidRPr="001B1A13">
        <w:rPr>
          <w:b w:val="0"/>
        </w:rPr>
        <w:t xml:space="preserve">years, which have significantly and positively contributed to the SGX's positive impact and growth. To </w:t>
      </w:r>
      <w:r w:rsidRPr="001B1A13">
        <w:rPr>
          <w:b w:val="0"/>
        </w:rPr>
        <w:lastRenderedPageBreak/>
        <w:t xml:space="preserve">expand its footprint, SGX has been aggressively searching for mergers and partners in other countries. For example, the Tokyo Stock Exchange purchased a </w:t>
      </w:r>
      <w:r w:rsidRPr="001B1A13">
        <w:rPr>
          <w:b w:val="0"/>
        </w:rPr>
        <w:t>5 percent interest in SGX, which has helped open up other doors for SGX since it is affiliated with another respectable business. Interest in cross-border projects has also been expressed, such as buying a 26 percent stake in the Bombay stock exchange, a m</w:t>
      </w:r>
      <w:r w:rsidRPr="001B1A13">
        <w:rPr>
          <w:b w:val="0"/>
        </w:rPr>
        <w:t xml:space="preserve">emo of understanding with the Abu Dhabi Defence market, and interest in </w:t>
      </w:r>
      <w:r>
        <w:rPr>
          <w:b w:val="0"/>
        </w:rPr>
        <w:t>Bursa Malaysia</w:t>
      </w:r>
      <w:r w:rsidR="003052BE">
        <w:rPr>
          <w:b w:val="0"/>
        </w:rPr>
        <w:t xml:space="preserve"> (</w:t>
      </w:r>
      <w:r w:rsidR="003052BE" w:rsidRPr="003052BE">
        <w:rPr>
          <w:b w:val="0"/>
        </w:rPr>
        <w:t>Cho</w:t>
      </w:r>
      <w:r w:rsidR="003052BE">
        <w:rPr>
          <w:b w:val="0"/>
        </w:rPr>
        <w:t xml:space="preserve">w-Tan, &amp; Pei, </w:t>
      </w:r>
      <w:r w:rsidR="003052BE" w:rsidRPr="003052BE">
        <w:rPr>
          <w:b w:val="0"/>
        </w:rPr>
        <w:t>2019)</w:t>
      </w:r>
      <w:r w:rsidRPr="001B1A13">
        <w:rPr>
          <w:b w:val="0"/>
        </w:rPr>
        <w:t>. A partnership called the Joint Asian Derivative Exchange (JADE), which is a joint venture between the Chicago Board of Trade (CBOT) and SGX, has</w:t>
      </w:r>
      <w:r w:rsidRPr="001B1A13">
        <w:rPr>
          <w:b w:val="0"/>
        </w:rPr>
        <w:t xml:space="preserve"> also been formed. This has opened up more SGX markets. SGX has also shown a rising presence in China's listing, which can be seen in recent partnerships with China's regional and local authorities </w:t>
      </w:r>
      <w:r>
        <w:rPr>
          <w:b w:val="0"/>
        </w:rPr>
        <w:t>such as Liaoning.</w:t>
      </w:r>
    </w:p>
    <w:p w:rsidR="00AC420F" w:rsidRDefault="00522EED" w:rsidP="00172D15">
      <w:pPr>
        <w:ind w:firstLine="720"/>
        <w:contextualSpacing/>
        <w:jc w:val="left"/>
        <w:rPr>
          <w:b w:val="0"/>
        </w:rPr>
      </w:pPr>
      <w:r w:rsidRPr="001B1A13">
        <w:rPr>
          <w:b w:val="0"/>
        </w:rPr>
        <w:t>To increase listings and maintain a high</w:t>
      </w:r>
      <w:r w:rsidRPr="001B1A13">
        <w:rPr>
          <w:b w:val="0"/>
        </w:rPr>
        <w:t>er competitive notch, the SGX in 2007 proposed a focus on the main board on quality and size transformation into a new liner and sponsor supervised board to target foreign and</w:t>
      </w:r>
      <w:r>
        <w:rPr>
          <w:b w:val="0"/>
        </w:rPr>
        <w:t xml:space="preserve"> local companies</w:t>
      </w:r>
      <w:r w:rsidRPr="001B1A13">
        <w:rPr>
          <w:b w:val="0"/>
        </w:rPr>
        <w:t>. This has contributed significantly to forming part</w:t>
      </w:r>
      <w:r>
        <w:rPr>
          <w:b w:val="0"/>
        </w:rPr>
        <w:t xml:space="preserve">nerships and </w:t>
      </w:r>
      <w:r>
        <w:rPr>
          <w:b w:val="0"/>
        </w:rPr>
        <w:t>cooperation</w:t>
      </w:r>
      <w:r w:rsidRPr="001B1A13">
        <w:rPr>
          <w:b w:val="0"/>
        </w:rPr>
        <w:t xml:space="preserve"> with other markets since the decision-making body is now more focused.</w:t>
      </w:r>
    </w:p>
    <w:p w:rsidR="005A678A" w:rsidRDefault="00522EED" w:rsidP="005A678A">
      <w:pPr>
        <w:contextualSpacing/>
      </w:pPr>
      <w:r w:rsidRPr="005A678A">
        <w:t>International Finance</w:t>
      </w:r>
    </w:p>
    <w:p w:rsidR="005A678A" w:rsidRDefault="00522EED" w:rsidP="005A678A">
      <w:pPr>
        <w:contextualSpacing/>
        <w:jc w:val="both"/>
      </w:pPr>
      <w:r w:rsidRPr="005A678A">
        <w:t>Participants of Trade Relationships</w:t>
      </w:r>
    </w:p>
    <w:p w:rsidR="005A678A" w:rsidRDefault="00522EED" w:rsidP="00172D15">
      <w:pPr>
        <w:ind w:firstLine="720"/>
        <w:contextualSpacing/>
        <w:jc w:val="both"/>
        <w:rPr>
          <w:b w:val="0"/>
        </w:rPr>
      </w:pPr>
      <w:r w:rsidRPr="005A678A">
        <w:rPr>
          <w:b w:val="0"/>
        </w:rPr>
        <w:t>Export/import partnerships are in three groups. This includes anonymous, related, and unaffiliated unknowns. The un</w:t>
      </w:r>
      <w:r w:rsidRPr="005A678A">
        <w:rPr>
          <w:b w:val="0"/>
        </w:rPr>
        <w:t>affiliated unknown is an arrangement where, in this situation, the corporation is Trident in the United States as a first importer enters into a deal wi</w:t>
      </w:r>
      <w:r>
        <w:rPr>
          <w:b w:val="0"/>
        </w:rPr>
        <w:t>th an international company</w:t>
      </w:r>
      <w:r w:rsidRPr="005A678A">
        <w:rPr>
          <w:b w:val="0"/>
        </w:rPr>
        <w:t>. Both Trident and the importer will then enter into a purchase deal that wil</w:t>
      </w:r>
      <w:r w:rsidRPr="005A678A">
        <w:rPr>
          <w:b w:val="0"/>
        </w:rPr>
        <w:t>l define the parties' requirements and commitments under the contract. In this relationship, if the importer failed to pay for the products in due time, Trident will have to obtain insurance against the foreign importer.</w:t>
      </w:r>
    </w:p>
    <w:p w:rsidR="005A678A" w:rsidRDefault="00522EED" w:rsidP="00172D15">
      <w:pPr>
        <w:ind w:firstLine="720"/>
        <w:contextualSpacing/>
        <w:jc w:val="both"/>
        <w:rPr>
          <w:b w:val="0"/>
        </w:rPr>
      </w:pPr>
      <w:r w:rsidRPr="005A678A">
        <w:rPr>
          <w:b w:val="0"/>
        </w:rPr>
        <w:t>An importer who has successfully en</w:t>
      </w:r>
      <w:r w:rsidRPr="005A678A">
        <w:rPr>
          <w:b w:val="0"/>
        </w:rPr>
        <w:t xml:space="preserve">gaged in business with Trident is not associated with an established trading partnership. Although the parties can enter into a comprehensive </w:t>
      </w:r>
      <w:r w:rsidRPr="005A678A">
        <w:rPr>
          <w:b w:val="0"/>
        </w:rPr>
        <w:lastRenderedPageBreak/>
        <w:t>arrangement in such a partnership, it is a little looser when they recognize their responsibilities (</w:t>
      </w:r>
      <w:proofErr w:type="spellStart"/>
      <w:r w:rsidRPr="005A678A">
        <w:rPr>
          <w:b w:val="0"/>
        </w:rPr>
        <w:t>Iercosan</w:t>
      </w:r>
      <w:proofErr w:type="spellEnd"/>
      <w:r w:rsidRPr="005A678A">
        <w:rPr>
          <w:b w:val="0"/>
        </w:rPr>
        <w:t xml:space="preserve">, &amp; </w:t>
      </w:r>
      <w:proofErr w:type="spellStart"/>
      <w:r w:rsidRPr="005A678A">
        <w:rPr>
          <w:b w:val="0"/>
        </w:rPr>
        <w:t>J</w:t>
      </w:r>
      <w:r w:rsidRPr="005A678A">
        <w:rPr>
          <w:b w:val="0"/>
        </w:rPr>
        <w:t>iron</w:t>
      </w:r>
      <w:proofErr w:type="spellEnd"/>
      <w:r w:rsidRPr="005A678A">
        <w:rPr>
          <w:b w:val="0"/>
        </w:rPr>
        <w:t>, 2017). Depending on the depth of the relationship between the parties, Trident can, on an open account basis, request protection from a third party. On the other hand, an affiliated trading partnership requires a global importer well-known to a forei</w:t>
      </w:r>
      <w:r w:rsidRPr="005A678A">
        <w:rPr>
          <w:b w:val="0"/>
        </w:rPr>
        <w:t xml:space="preserve">gn company. A subsidiary of Trident in China, for example, may conduct business with Trident in the U.S. In such a situation, the parties do not have to enter into a detailed deal, and Trident from the U.S. does not require any </w:t>
      </w:r>
      <w:proofErr w:type="spellStart"/>
      <w:r w:rsidRPr="005A678A">
        <w:rPr>
          <w:b w:val="0"/>
        </w:rPr>
        <w:t>defense</w:t>
      </w:r>
      <w:proofErr w:type="spellEnd"/>
      <w:r w:rsidRPr="005A678A">
        <w:rPr>
          <w:b w:val="0"/>
        </w:rPr>
        <w:t xml:space="preserve"> from third parties.</w:t>
      </w:r>
    </w:p>
    <w:p w:rsidR="005A678A" w:rsidRPr="005A678A" w:rsidRDefault="00522EED" w:rsidP="005A678A">
      <w:pPr>
        <w:contextualSpacing/>
        <w:jc w:val="both"/>
      </w:pPr>
      <w:r w:rsidRPr="005A678A">
        <w:t>Government Programs to Finance Exports</w:t>
      </w:r>
    </w:p>
    <w:p w:rsidR="005A678A" w:rsidRDefault="00522EED" w:rsidP="00172D15">
      <w:pPr>
        <w:ind w:firstLine="720"/>
        <w:contextualSpacing/>
        <w:jc w:val="both"/>
        <w:rPr>
          <w:b w:val="0"/>
        </w:rPr>
      </w:pPr>
      <w:r w:rsidRPr="005A678A">
        <w:rPr>
          <w:b w:val="0"/>
        </w:rPr>
        <w:t>Export credit insurance and export-import banks are government programs to provide U.S. nationals with subsidized credit facilities to export goods to other countries. Import credit policy gives exporters confidence t</w:t>
      </w:r>
      <w:r w:rsidRPr="005A678A">
        <w:rPr>
          <w:b w:val="0"/>
        </w:rPr>
        <w:t>hat the insurance provider can cover much of the costs when the overseas importer fails to pay for the goods (Devereux &amp; Collier, 2017). Since export credit insurance exists, commercial banks can provide exporters with short-term and long-term credit facil</w:t>
      </w:r>
      <w:r w:rsidRPr="005A678A">
        <w:rPr>
          <w:b w:val="0"/>
        </w:rPr>
        <w:t>ities without fear of losing their profits. Protecting exporters in the U.S. International Credit Insurance Association involves risks due to non-payment from foreign importers.</w:t>
      </w:r>
    </w:p>
    <w:p w:rsidR="005A678A" w:rsidRDefault="00522EED" w:rsidP="00172D15">
      <w:pPr>
        <w:ind w:firstLine="720"/>
        <w:contextualSpacing/>
        <w:jc w:val="both"/>
        <w:rPr>
          <w:b w:val="0"/>
        </w:rPr>
      </w:pPr>
      <w:r w:rsidRPr="005A678A">
        <w:rPr>
          <w:b w:val="0"/>
        </w:rPr>
        <w:t>The Export-Import Bank is a U.S. agency that promotes and stimulates the count</w:t>
      </w:r>
      <w:r w:rsidRPr="005A678A">
        <w:rPr>
          <w:b w:val="0"/>
        </w:rPr>
        <w:t>ry's international exchange. The organization promotes trade between the U.S. and other international countries of goods, exports, and imports. The bank promotes international exchange by lending by providing long-term and short-term loans to foreign borro</w:t>
      </w:r>
      <w:r w:rsidRPr="005A678A">
        <w:rPr>
          <w:b w:val="0"/>
        </w:rPr>
        <w:t>wers through credit facilities. Therefore, U</w:t>
      </w:r>
      <w:r w:rsidR="003052BE">
        <w:rPr>
          <w:b w:val="0"/>
        </w:rPr>
        <w:t>.</w:t>
      </w:r>
      <w:r w:rsidRPr="005A678A">
        <w:rPr>
          <w:b w:val="0"/>
        </w:rPr>
        <w:t>S. goods and services may be bought by international creditors (</w:t>
      </w:r>
      <w:proofErr w:type="spellStart"/>
      <w:r w:rsidRPr="005A678A">
        <w:rPr>
          <w:b w:val="0"/>
        </w:rPr>
        <w:t>Iercosan</w:t>
      </w:r>
      <w:proofErr w:type="spellEnd"/>
      <w:r w:rsidRPr="005A678A">
        <w:rPr>
          <w:b w:val="0"/>
        </w:rPr>
        <w:t xml:space="preserve"> &amp; </w:t>
      </w:r>
      <w:proofErr w:type="spellStart"/>
      <w:r w:rsidRPr="005A678A">
        <w:rPr>
          <w:b w:val="0"/>
        </w:rPr>
        <w:t>Jiron</w:t>
      </w:r>
      <w:proofErr w:type="spellEnd"/>
      <w:r w:rsidRPr="005A678A">
        <w:rPr>
          <w:b w:val="0"/>
        </w:rPr>
        <w:t xml:space="preserve">, 2017). Loan proceeds are given to U.S. vendors, and this means that the production and sale of products and services in the U.S. </w:t>
      </w:r>
      <w:r w:rsidRPr="005A678A">
        <w:rPr>
          <w:b w:val="0"/>
        </w:rPr>
        <w:t>continues as exporters can export their commodities without fear of losses due to non-payment.</w:t>
      </w:r>
    </w:p>
    <w:p w:rsidR="005A678A" w:rsidRDefault="00522EED" w:rsidP="005A678A">
      <w:pPr>
        <w:contextualSpacing/>
        <w:jc w:val="both"/>
      </w:pPr>
      <w:r w:rsidRPr="005A678A">
        <w:t>Parties and their Roles with a Letter of Credit (L/C)</w:t>
      </w:r>
    </w:p>
    <w:p w:rsidR="005A678A" w:rsidRDefault="00522EED" w:rsidP="00172D15">
      <w:pPr>
        <w:ind w:firstLine="720"/>
        <w:contextualSpacing/>
        <w:jc w:val="both"/>
        <w:rPr>
          <w:b w:val="0"/>
        </w:rPr>
      </w:pPr>
      <w:r w:rsidRPr="005A678A">
        <w:rPr>
          <w:b w:val="0"/>
        </w:rPr>
        <w:t>A letter of credit is a contract issued by a bank at the importer's request, where the bank agrees to pay t</w:t>
      </w:r>
      <w:r w:rsidRPr="005A678A">
        <w:rPr>
          <w:b w:val="0"/>
        </w:rPr>
        <w:t>he exporter a certain sum of money upon presentation to the b</w:t>
      </w:r>
      <w:r>
        <w:rPr>
          <w:b w:val="0"/>
        </w:rPr>
        <w:t xml:space="preserve">ank of the letter </w:t>
      </w:r>
      <w:r>
        <w:rPr>
          <w:b w:val="0"/>
        </w:rPr>
        <w:lastRenderedPageBreak/>
        <w:t>of credit</w:t>
      </w:r>
      <w:r w:rsidRPr="005A678A">
        <w:rPr>
          <w:b w:val="0"/>
        </w:rPr>
        <w:t>. There are three parties to the letter of credit, including the importer, the issuing bank, and the exporter. The beneficiary who is the exporter shall enter into a pu</w:t>
      </w:r>
      <w:r w:rsidRPr="005A678A">
        <w:rPr>
          <w:b w:val="0"/>
        </w:rPr>
        <w:t>rchasing deal with the importer, and the importer shall apply to the bank for the issuance to the exporter of a letter of credit.</w:t>
      </w:r>
    </w:p>
    <w:p w:rsidR="005A678A" w:rsidRDefault="00522EED" w:rsidP="00172D15">
      <w:pPr>
        <w:ind w:firstLine="720"/>
        <w:contextualSpacing/>
        <w:jc w:val="both"/>
        <w:rPr>
          <w:b w:val="0"/>
        </w:rPr>
      </w:pPr>
      <w:r w:rsidRPr="005A678A">
        <w:rPr>
          <w:b w:val="0"/>
        </w:rPr>
        <w:t xml:space="preserve">After the bank's determination of the importer's creditworthiness, the bank cut a purchase deal. The issuing bank may require </w:t>
      </w:r>
      <w:r w:rsidRPr="005A678A">
        <w:rPr>
          <w:b w:val="0"/>
        </w:rPr>
        <w:t xml:space="preserve">the importer as collateral to deposit a certain cash deposit. The authorizing bank may require the importer to supply the letter of credit with some details about the transaction's nature, the amount of money involved, and the documents attached (Devereux </w:t>
      </w:r>
      <w:r w:rsidRPr="005A678A">
        <w:rPr>
          <w:b w:val="0"/>
        </w:rPr>
        <w:t>&amp; Collier, 2017). Once the issuing bank has been assured that the importer has a credit value, it will issue a letter of credit agreeing to pay for the goods as long as the goods have been shipped in compliance with the terms of the letter of credit.</w:t>
      </w:r>
    </w:p>
    <w:p w:rsidR="00F228D3" w:rsidRDefault="00522EED" w:rsidP="005A678A">
      <w:pPr>
        <w:contextualSpacing/>
        <w:jc w:val="both"/>
      </w:pPr>
      <w:r w:rsidRPr="00F228D3">
        <w:t>Tax T</w:t>
      </w:r>
      <w:r w:rsidRPr="00F228D3">
        <w:t>reaties and Purposes</w:t>
      </w:r>
    </w:p>
    <w:p w:rsidR="00F228D3" w:rsidRPr="00F228D3" w:rsidRDefault="00522EED" w:rsidP="00172D15">
      <w:pPr>
        <w:ind w:firstLine="720"/>
        <w:contextualSpacing/>
        <w:jc w:val="both"/>
        <w:rPr>
          <w:b w:val="0"/>
        </w:rPr>
      </w:pPr>
      <w:r w:rsidRPr="00F228D3">
        <w:rPr>
          <w:b w:val="0"/>
        </w:rPr>
        <w:t>Tax treaties apply to international treaties whose purpose is to reduce double taxation. Tax treaties offer guidelines as to when a government can tax foreign citizens of another country and, if so, what form of tax will be levied on t</w:t>
      </w:r>
      <w:r w:rsidRPr="00F228D3">
        <w:rPr>
          <w:b w:val="0"/>
        </w:rPr>
        <w:t xml:space="preserve">hem (Devereux &amp; Collier, 2017). Taxes are based on the revenue received by foreign countries that work in the host country. The bilateral treaties set down the thresholds available to the two signatories, charging foreign citizens simultaneously (Devereux </w:t>
      </w:r>
      <w:r w:rsidRPr="00F228D3">
        <w:rPr>
          <w:b w:val="0"/>
        </w:rPr>
        <w:t>&amp; Collier, 2017). Such taxes are mostly applicable to a permanent foreign manufacturing firm founded in the country and not to firms that only export products to other</w:t>
      </w:r>
      <w:r>
        <w:rPr>
          <w:b w:val="0"/>
        </w:rPr>
        <w:t xml:space="preserve">s. </w:t>
      </w:r>
      <w:r w:rsidRPr="00F228D3">
        <w:rPr>
          <w:b w:val="0"/>
        </w:rPr>
        <w:t>Tax treaties also account for what constitutes a permanent state and the relevant taxa</w:t>
      </w:r>
      <w:r w:rsidRPr="00F228D3">
        <w:rPr>
          <w:b w:val="0"/>
        </w:rPr>
        <w:t>tion. Tax treaties are essential because they contribute to eliminating withholding taxes between countries that have ratified them. Tax treaty talks also offer countries a platform to extend t</w:t>
      </w:r>
      <w:r w:rsidR="000B50F0">
        <w:rPr>
          <w:b w:val="0"/>
        </w:rPr>
        <w:t>heir business relationships (Moffett,</w:t>
      </w:r>
      <w:r w:rsidR="000B50F0" w:rsidRPr="000B50F0">
        <w:rPr>
          <w:b w:val="0"/>
        </w:rPr>
        <w:t xml:space="preserve"> </w:t>
      </w:r>
      <w:proofErr w:type="spellStart"/>
      <w:r w:rsidR="000B50F0" w:rsidRPr="000B50F0">
        <w:rPr>
          <w:b w:val="0"/>
        </w:rPr>
        <w:t>Ston</w:t>
      </w:r>
      <w:r w:rsidR="000B50F0">
        <w:rPr>
          <w:b w:val="0"/>
        </w:rPr>
        <w:t>ehill</w:t>
      </w:r>
      <w:proofErr w:type="spellEnd"/>
      <w:r w:rsidR="000B50F0">
        <w:rPr>
          <w:b w:val="0"/>
        </w:rPr>
        <w:t xml:space="preserve"> &amp; </w:t>
      </w:r>
      <w:proofErr w:type="spellStart"/>
      <w:r w:rsidR="000B50F0">
        <w:rPr>
          <w:b w:val="0"/>
        </w:rPr>
        <w:t>Eiteman</w:t>
      </w:r>
      <w:proofErr w:type="spellEnd"/>
      <w:r w:rsidR="000B50F0">
        <w:rPr>
          <w:b w:val="0"/>
        </w:rPr>
        <w:t xml:space="preserve">, </w:t>
      </w:r>
      <w:r w:rsidR="000B50F0" w:rsidRPr="000B50F0">
        <w:rPr>
          <w:b w:val="0"/>
        </w:rPr>
        <w:t>2015)</w:t>
      </w:r>
      <w:r w:rsidRPr="00F228D3">
        <w:rPr>
          <w:b w:val="0"/>
        </w:rPr>
        <w:t>. Thus, tax treaties play a crucial role in boosting international trade and ensuring that foreign businesses are shielde</w:t>
      </w:r>
      <w:r w:rsidR="00B26BB9">
        <w:rPr>
          <w:b w:val="0"/>
        </w:rPr>
        <w:t xml:space="preserve">d from unequal tax structure </w:t>
      </w:r>
      <w:r w:rsidRPr="00F228D3">
        <w:rPr>
          <w:b w:val="0"/>
        </w:rPr>
        <w:t>countries.</w:t>
      </w:r>
    </w:p>
    <w:p w:rsidR="005A678A" w:rsidRDefault="00522EED" w:rsidP="009D7139">
      <w:pPr>
        <w:contextualSpacing/>
        <w:jc w:val="left"/>
      </w:pPr>
      <w:r w:rsidRPr="00BA15B7">
        <w:t>Exchange Rates and International Investing</w:t>
      </w:r>
    </w:p>
    <w:p w:rsidR="00BA15B7" w:rsidRDefault="00522EED" w:rsidP="009D7139">
      <w:pPr>
        <w:contextualSpacing/>
        <w:jc w:val="left"/>
        <w:rPr>
          <w:b w:val="0"/>
        </w:rPr>
      </w:pPr>
      <w:r>
        <w:rPr>
          <w:b w:val="0"/>
        </w:rPr>
        <w:lastRenderedPageBreak/>
        <w:t>I have decided to choose two foreign countries, inc</w:t>
      </w:r>
      <w:r>
        <w:rPr>
          <w:b w:val="0"/>
        </w:rPr>
        <w:t xml:space="preserve">luding Guyana and Jamaica, because I have been in both countries </w:t>
      </w:r>
      <w:r w:rsidR="008665E1">
        <w:rPr>
          <w:b w:val="0"/>
        </w:rPr>
        <w:t>and they are very different economically.</w:t>
      </w:r>
    </w:p>
    <w:p w:rsidR="008665E1" w:rsidRDefault="00522EED" w:rsidP="009D7139">
      <w:pPr>
        <w:contextualSpacing/>
        <w:jc w:val="left"/>
        <w:rPr>
          <w:b w:val="0"/>
        </w:rPr>
      </w:pPr>
      <w:r w:rsidRPr="008665E1">
        <w:t>Inflation</w:t>
      </w:r>
    </w:p>
    <w:p w:rsidR="008665E1" w:rsidRDefault="00522EED" w:rsidP="009D7139">
      <w:pPr>
        <w:contextualSpacing/>
        <w:jc w:val="left"/>
        <w:rPr>
          <w:b w:val="0"/>
        </w:rPr>
      </w:pPr>
      <w:r>
        <w:rPr>
          <w:b w:val="0"/>
        </w:rPr>
        <w:t>Guyana: the inflation rate in October 2020 was up to 2.30 percent, high from 2.20 percent in October 2019.</w:t>
      </w:r>
    </w:p>
    <w:p w:rsidR="008665E1" w:rsidRDefault="00522EED" w:rsidP="009D7139">
      <w:pPr>
        <w:contextualSpacing/>
        <w:jc w:val="left"/>
        <w:rPr>
          <w:b w:val="0"/>
        </w:rPr>
      </w:pPr>
      <w:r>
        <w:rPr>
          <w:b w:val="0"/>
        </w:rPr>
        <w:t xml:space="preserve">Jamaica: the rate of </w:t>
      </w:r>
      <w:r>
        <w:rPr>
          <w:b w:val="0"/>
        </w:rPr>
        <w:t>inflation showed to be 3.60 percent in the previous quarter and projected a rise of up to 4.70 percent in the long run.</w:t>
      </w:r>
    </w:p>
    <w:p w:rsidR="008665E1" w:rsidRDefault="00522EED" w:rsidP="009D7139">
      <w:pPr>
        <w:contextualSpacing/>
        <w:jc w:val="left"/>
      </w:pPr>
      <w:r w:rsidRPr="008665E1">
        <w:t>Interest Rates</w:t>
      </w:r>
    </w:p>
    <w:p w:rsidR="008665E1" w:rsidRDefault="00522EED" w:rsidP="009D7139">
      <w:pPr>
        <w:contextualSpacing/>
        <w:jc w:val="left"/>
        <w:rPr>
          <w:b w:val="0"/>
        </w:rPr>
      </w:pPr>
      <w:r>
        <w:rPr>
          <w:b w:val="0"/>
        </w:rPr>
        <w:t>Guyana: it was at 5</w:t>
      </w:r>
      <w:r w:rsidR="000B50F0">
        <w:rPr>
          <w:b w:val="0"/>
        </w:rPr>
        <w:t xml:space="preserve"> </w:t>
      </w:r>
      <w:r>
        <w:rPr>
          <w:b w:val="0"/>
        </w:rPr>
        <w:t>percent at the end of 2020.</w:t>
      </w:r>
    </w:p>
    <w:p w:rsidR="008665E1" w:rsidRDefault="00522EED" w:rsidP="009D7139">
      <w:pPr>
        <w:contextualSpacing/>
        <w:jc w:val="left"/>
        <w:rPr>
          <w:b w:val="0"/>
        </w:rPr>
      </w:pPr>
      <w:r>
        <w:rPr>
          <w:b w:val="0"/>
        </w:rPr>
        <w:t xml:space="preserve">Jamaica: </w:t>
      </w:r>
      <w:r w:rsidR="009620B2">
        <w:rPr>
          <w:b w:val="0"/>
        </w:rPr>
        <w:t xml:space="preserve">currently, the interest rates are 0.50 percent; the decision of the policymakers is based on the assessment of the banks, which states that the monetary </w:t>
      </w:r>
      <w:r w:rsidR="000B50F0">
        <w:rPr>
          <w:b w:val="0"/>
        </w:rPr>
        <w:t>decision shows</w:t>
      </w:r>
      <w:r w:rsidR="009620B2">
        <w:rPr>
          <w:b w:val="0"/>
        </w:rPr>
        <w:t xml:space="preserve"> an achievement towards the country’s inflation target to 4% to 6% in the next 4-8 quarters in the future</w:t>
      </w:r>
      <w:r w:rsidR="000B50F0">
        <w:rPr>
          <w:b w:val="0"/>
        </w:rPr>
        <w:t xml:space="preserve"> (Glazer, </w:t>
      </w:r>
      <w:r w:rsidR="000B50F0" w:rsidRPr="000B50F0">
        <w:rPr>
          <w:b w:val="0"/>
        </w:rPr>
        <w:t>2020</w:t>
      </w:r>
      <w:r w:rsidR="000B50F0">
        <w:rPr>
          <w:b w:val="0"/>
        </w:rPr>
        <w:t>)</w:t>
      </w:r>
    </w:p>
    <w:p w:rsidR="009620B2" w:rsidRDefault="00522EED" w:rsidP="009D7139">
      <w:pPr>
        <w:contextualSpacing/>
        <w:jc w:val="left"/>
      </w:pPr>
      <w:r w:rsidRPr="009620B2">
        <w:t>National Debt</w:t>
      </w:r>
    </w:p>
    <w:p w:rsidR="009620B2" w:rsidRDefault="00522EED" w:rsidP="009D7139">
      <w:pPr>
        <w:contextualSpacing/>
        <w:jc w:val="left"/>
        <w:rPr>
          <w:b w:val="0"/>
        </w:rPr>
      </w:pPr>
      <w:r>
        <w:rPr>
          <w:b w:val="0"/>
        </w:rPr>
        <w:t>Guyana: 2.05 billi</w:t>
      </w:r>
      <w:r>
        <w:rPr>
          <w:b w:val="0"/>
        </w:rPr>
        <w:t>on U.S. Dollars.</w:t>
      </w:r>
    </w:p>
    <w:p w:rsidR="009620B2" w:rsidRDefault="00522EED" w:rsidP="009D7139">
      <w:pPr>
        <w:contextualSpacing/>
        <w:jc w:val="left"/>
        <w:rPr>
          <w:b w:val="0"/>
        </w:rPr>
      </w:pPr>
      <w:r>
        <w:rPr>
          <w:b w:val="0"/>
        </w:rPr>
        <w:t>Jamaica: Sums up to 14.3 billion U.S. dollars.</w:t>
      </w:r>
    </w:p>
    <w:p w:rsidR="009620B2" w:rsidRDefault="00522EED" w:rsidP="009D7139">
      <w:pPr>
        <w:contextualSpacing/>
        <w:jc w:val="left"/>
      </w:pPr>
      <w:r w:rsidRPr="0099122E">
        <w:t>U</w:t>
      </w:r>
      <w:r w:rsidR="0099122E" w:rsidRPr="0099122E">
        <w:t>nemployment</w:t>
      </w:r>
    </w:p>
    <w:p w:rsidR="0099122E" w:rsidRDefault="00522EED" w:rsidP="009D7139">
      <w:pPr>
        <w:contextualSpacing/>
        <w:jc w:val="left"/>
        <w:rPr>
          <w:b w:val="0"/>
        </w:rPr>
      </w:pPr>
      <w:r w:rsidRPr="0099122E">
        <w:rPr>
          <w:b w:val="0"/>
        </w:rPr>
        <w:t>Guyana: 12.17 percent, the majority of the population is self-employed.</w:t>
      </w:r>
    </w:p>
    <w:p w:rsidR="0099122E" w:rsidRDefault="00522EED" w:rsidP="009D7139">
      <w:pPr>
        <w:contextualSpacing/>
        <w:jc w:val="left"/>
        <w:rPr>
          <w:b w:val="0"/>
        </w:rPr>
      </w:pPr>
      <w:r>
        <w:rPr>
          <w:b w:val="0"/>
        </w:rPr>
        <w:t>Jamaica: 9.46 percent, the majority of the population depend on tourism.</w:t>
      </w:r>
    </w:p>
    <w:p w:rsidR="0099122E" w:rsidRDefault="00522EED" w:rsidP="009D7139">
      <w:pPr>
        <w:contextualSpacing/>
        <w:jc w:val="left"/>
      </w:pPr>
      <w:r w:rsidRPr="0099122E">
        <w:t>Money Supply</w:t>
      </w:r>
    </w:p>
    <w:p w:rsidR="0099122E" w:rsidRDefault="00522EED" w:rsidP="009D7139">
      <w:pPr>
        <w:contextualSpacing/>
        <w:jc w:val="left"/>
        <w:rPr>
          <w:b w:val="0"/>
        </w:rPr>
      </w:pPr>
      <w:r>
        <w:rPr>
          <w:b w:val="0"/>
        </w:rPr>
        <w:t>Guyana: $442.75 billi</w:t>
      </w:r>
      <w:r>
        <w:rPr>
          <w:b w:val="0"/>
        </w:rPr>
        <w:t>on Guyana dollars in October 2020</w:t>
      </w:r>
    </w:p>
    <w:p w:rsidR="0099122E" w:rsidRDefault="00522EED" w:rsidP="009D7139">
      <w:pPr>
        <w:contextualSpacing/>
        <w:jc w:val="left"/>
        <w:rPr>
          <w:b w:val="0"/>
        </w:rPr>
      </w:pPr>
      <w:r>
        <w:rPr>
          <w:b w:val="0"/>
        </w:rPr>
        <w:t>Jamaica: $560699.73 million in Jamaica dollars</w:t>
      </w:r>
    </w:p>
    <w:p w:rsidR="0099122E" w:rsidRDefault="00522EED" w:rsidP="009D7139">
      <w:pPr>
        <w:contextualSpacing/>
        <w:jc w:val="left"/>
      </w:pPr>
      <w:r w:rsidRPr="0099122E">
        <w:t>Political Stability</w:t>
      </w:r>
    </w:p>
    <w:p w:rsidR="0099122E" w:rsidRDefault="00522EED" w:rsidP="009D7139">
      <w:pPr>
        <w:contextualSpacing/>
        <w:jc w:val="left"/>
        <w:rPr>
          <w:b w:val="0"/>
        </w:rPr>
      </w:pPr>
      <w:r>
        <w:rPr>
          <w:b w:val="0"/>
        </w:rPr>
        <w:t>Guyana:  Demonstrated to be 2.5 strong and 2.5 weak.</w:t>
      </w:r>
    </w:p>
    <w:p w:rsidR="0099122E" w:rsidRDefault="00522EED" w:rsidP="009D7139">
      <w:pPr>
        <w:contextualSpacing/>
        <w:jc w:val="left"/>
        <w:rPr>
          <w:b w:val="0"/>
        </w:rPr>
      </w:pPr>
      <w:r>
        <w:rPr>
          <w:b w:val="0"/>
        </w:rPr>
        <w:t xml:space="preserve">Jamaica: It was illustrated to be </w:t>
      </w:r>
      <w:r w:rsidR="007D7BDF" w:rsidRPr="007D7BDF">
        <w:rPr>
          <w:b w:val="0"/>
        </w:rPr>
        <w:t>2.5 strong and 2.5 weak.</w:t>
      </w:r>
    </w:p>
    <w:p w:rsidR="007D7BDF" w:rsidRDefault="00522EED" w:rsidP="00172D15">
      <w:pPr>
        <w:ind w:firstLine="720"/>
        <w:contextualSpacing/>
        <w:jc w:val="left"/>
        <w:rPr>
          <w:b w:val="0"/>
        </w:rPr>
      </w:pPr>
      <w:r>
        <w:rPr>
          <w:b w:val="0"/>
        </w:rPr>
        <w:lastRenderedPageBreak/>
        <w:t>I have been a frequent visitor in Guyana, a</w:t>
      </w:r>
      <w:r>
        <w:rPr>
          <w:b w:val="0"/>
        </w:rPr>
        <w:t>nd the exchange rate for 1 U.S. dollar is $210 Guyana dollars; this illustrates that life there is expensive and there is a high cost of living; hence there is no value in the country's dollar. I once visited Jamaica, and I was able to identify that the co</w:t>
      </w:r>
      <w:r>
        <w:rPr>
          <w:b w:val="0"/>
        </w:rPr>
        <w:t xml:space="preserve">st of living is very high in the country, although the exchange rate for their currency was 1 U.S. dollar for $3 Jamaica dollars. </w:t>
      </w:r>
    </w:p>
    <w:p w:rsidR="00172D15" w:rsidRDefault="00172D15" w:rsidP="00172D15">
      <w:pPr>
        <w:ind w:firstLine="720"/>
        <w:contextualSpacing/>
        <w:jc w:val="left"/>
        <w:rPr>
          <w:b w:val="0"/>
        </w:rPr>
      </w:pPr>
    </w:p>
    <w:p w:rsidR="00172D15" w:rsidRDefault="00172D15" w:rsidP="00172D15">
      <w:pPr>
        <w:ind w:firstLine="720"/>
        <w:contextualSpacing/>
        <w:jc w:val="left"/>
        <w:rPr>
          <w:b w:val="0"/>
        </w:rPr>
      </w:pPr>
    </w:p>
    <w:p w:rsidR="00172D15" w:rsidRDefault="00172D15" w:rsidP="00172D15">
      <w:pPr>
        <w:ind w:firstLine="720"/>
        <w:contextualSpacing/>
        <w:jc w:val="left"/>
        <w:rPr>
          <w:b w:val="0"/>
        </w:rPr>
      </w:pPr>
    </w:p>
    <w:p w:rsidR="00172D15" w:rsidRDefault="00172D15" w:rsidP="00172D15">
      <w:pPr>
        <w:ind w:firstLine="720"/>
        <w:contextualSpacing/>
        <w:jc w:val="left"/>
        <w:rPr>
          <w:b w:val="0"/>
        </w:rPr>
      </w:pPr>
    </w:p>
    <w:p w:rsidR="00172D15" w:rsidRDefault="00172D15" w:rsidP="00172D15">
      <w:pPr>
        <w:ind w:firstLine="720"/>
        <w:contextualSpacing/>
        <w:jc w:val="left"/>
        <w:rPr>
          <w:b w:val="0"/>
        </w:rPr>
      </w:pPr>
    </w:p>
    <w:p w:rsidR="00172D15" w:rsidRDefault="00172D15" w:rsidP="00172D15">
      <w:pPr>
        <w:ind w:firstLine="720"/>
        <w:contextualSpacing/>
        <w:jc w:val="left"/>
        <w:rPr>
          <w:b w:val="0"/>
        </w:rPr>
      </w:pPr>
    </w:p>
    <w:p w:rsidR="00172D15" w:rsidRDefault="00172D15" w:rsidP="00172D15">
      <w:pPr>
        <w:ind w:firstLine="720"/>
        <w:contextualSpacing/>
        <w:jc w:val="left"/>
        <w:rPr>
          <w:b w:val="0"/>
        </w:rPr>
      </w:pPr>
    </w:p>
    <w:p w:rsidR="00172D15" w:rsidRDefault="00172D15" w:rsidP="00172D15">
      <w:pPr>
        <w:ind w:firstLine="720"/>
        <w:contextualSpacing/>
        <w:jc w:val="left"/>
        <w:rPr>
          <w:b w:val="0"/>
        </w:rPr>
      </w:pPr>
    </w:p>
    <w:p w:rsidR="00172D15" w:rsidRDefault="00172D15" w:rsidP="00172D15">
      <w:pPr>
        <w:ind w:firstLine="720"/>
        <w:contextualSpacing/>
        <w:jc w:val="left"/>
        <w:rPr>
          <w:b w:val="0"/>
        </w:rPr>
      </w:pPr>
    </w:p>
    <w:p w:rsidR="00172D15" w:rsidRDefault="00172D15" w:rsidP="00172D15">
      <w:pPr>
        <w:ind w:firstLine="720"/>
        <w:contextualSpacing/>
        <w:jc w:val="left"/>
        <w:rPr>
          <w:b w:val="0"/>
        </w:rPr>
      </w:pPr>
    </w:p>
    <w:p w:rsidR="00172D15" w:rsidRDefault="00172D15" w:rsidP="00172D15">
      <w:pPr>
        <w:ind w:firstLine="720"/>
        <w:contextualSpacing/>
        <w:jc w:val="left"/>
        <w:rPr>
          <w:b w:val="0"/>
        </w:rPr>
      </w:pPr>
    </w:p>
    <w:p w:rsidR="00172D15" w:rsidRDefault="00172D15" w:rsidP="00172D15">
      <w:pPr>
        <w:ind w:firstLine="720"/>
        <w:contextualSpacing/>
        <w:jc w:val="left"/>
        <w:rPr>
          <w:b w:val="0"/>
        </w:rPr>
      </w:pPr>
    </w:p>
    <w:p w:rsidR="00172D15" w:rsidRDefault="00172D15" w:rsidP="00172D15">
      <w:pPr>
        <w:ind w:firstLine="720"/>
        <w:contextualSpacing/>
        <w:jc w:val="left"/>
        <w:rPr>
          <w:b w:val="0"/>
        </w:rPr>
      </w:pPr>
    </w:p>
    <w:p w:rsidR="00172D15" w:rsidRDefault="00522EED" w:rsidP="00172D15">
      <w:pPr>
        <w:ind w:firstLine="720"/>
        <w:contextualSpacing/>
        <w:rPr>
          <w:b w:val="0"/>
        </w:rPr>
      </w:pPr>
      <w:r>
        <w:rPr>
          <w:b w:val="0"/>
        </w:rPr>
        <w:t xml:space="preserve">References </w:t>
      </w:r>
    </w:p>
    <w:p w:rsidR="00172D15" w:rsidRDefault="00522EED" w:rsidP="00800368">
      <w:pPr>
        <w:ind w:left="851" w:hanging="851"/>
        <w:contextualSpacing/>
        <w:jc w:val="left"/>
        <w:rPr>
          <w:b w:val="0"/>
        </w:rPr>
      </w:pPr>
      <w:r w:rsidRPr="00172D15">
        <w:rPr>
          <w:b w:val="0"/>
          <w:bCs/>
          <w:lang w:val="en-US"/>
        </w:rPr>
        <w:t xml:space="preserve">The Global </w:t>
      </w:r>
      <w:r w:rsidR="000B50F0">
        <w:rPr>
          <w:b w:val="0"/>
          <w:bCs/>
          <w:lang w:val="en-US"/>
        </w:rPr>
        <w:t>Economy- Retrieved on January 14, 2021</w:t>
      </w:r>
      <w:r w:rsidRPr="00172D15">
        <w:rPr>
          <w:b w:val="0"/>
          <w:bCs/>
          <w:lang w:val="en-US"/>
        </w:rPr>
        <w:t>, from</w:t>
      </w:r>
      <w:r>
        <w:rPr>
          <w:b w:val="0"/>
          <w:bCs/>
          <w:lang w:val="en-US"/>
        </w:rPr>
        <w:t xml:space="preserve"> </w:t>
      </w:r>
      <w:hyperlink r:id="rId6" w:history="1">
        <w:r w:rsidRPr="00172D15">
          <w:rPr>
            <w:rStyle w:val="Hyperlink"/>
            <w:b w:val="0"/>
            <w:bCs/>
            <w:lang w:val="en-US"/>
          </w:rPr>
          <w:t>http://www.theglobaleconomy.com/Jamaica</w:t>
        </w:r>
      </w:hyperlink>
    </w:p>
    <w:p w:rsidR="00800368" w:rsidRDefault="00522EED" w:rsidP="00800368">
      <w:pPr>
        <w:ind w:left="851" w:hanging="851"/>
        <w:contextualSpacing/>
        <w:jc w:val="left"/>
        <w:rPr>
          <w:b w:val="0"/>
        </w:rPr>
      </w:pPr>
      <w:r>
        <w:rPr>
          <w:b w:val="0"/>
          <w:lang w:val="en-US"/>
        </w:rPr>
        <w:t>Glazer, D. (2020</w:t>
      </w:r>
      <w:r w:rsidRPr="00800368">
        <w:rPr>
          <w:b w:val="0"/>
          <w:lang w:val="en-US"/>
        </w:rPr>
        <w:t>, January 15). Chat posting, Re</w:t>
      </w:r>
      <w:r>
        <w:rPr>
          <w:b w:val="0"/>
          <w:lang w:val="en-US"/>
        </w:rPr>
        <w:t>trieved January 14, 2021</w:t>
      </w:r>
      <w:r w:rsidRPr="00800368">
        <w:rPr>
          <w:b w:val="0"/>
          <w:lang w:val="en-US"/>
        </w:rPr>
        <w:t>, from CTU,</w:t>
      </w:r>
      <w:r>
        <w:rPr>
          <w:b w:val="0"/>
          <w:lang w:val="en-US"/>
        </w:rPr>
        <w:t xml:space="preserve"> </w:t>
      </w:r>
      <w:r w:rsidRPr="00800368">
        <w:rPr>
          <w:b w:val="0"/>
          <w:lang w:val="en-US"/>
        </w:rPr>
        <w:t xml:space="preserve">Virtual Campus, </w:t>
      </w:r>
      <w:hyperlink r:id="rId7" w:history="1">
        <w:r w:rsidRPr="00800368">
          <w:rPr>
            <w:rStyle w:val="Hyperlink"/>
            <w:b w:val="0"/>
            <w:lang w:val="en-US"/>
          </w:rPr>
          <w:t>FINC420-2001A-01</w:t>
        </w:r>
      </w:hyperlink>
      <w:r w:rsidRPr="00800368">
        <w:rPr>
          <w:b w:val="0"/>
          <w:lang w:val="en-US"/>
        </w:rPr>
        <w:t xml:space="preserve">: International Finance: The Individual. Unit 1; Phase 1IP. Chat archive: </w:t>
      </w:r>
      <w:hyperlink r:id="rId8" w:history="1">
        <w:r w:rsidRPr="00800368">
          <w:rPr>
            <w:rStyle w:val="Hyperlink"/>
            <w:b w:val="0"/>
            <w:lang w:val="en-US"/>
          </w:rPr>
          <w:t>https://campus.ctuonline.edu</w:t>
        </w:r>
      </w:hyperlink>
    </w:p>
    <w:p w:rsidR="00800368" w:rsidRDefault="00522EED" w:rsidP="00800368">
      <w:pPr>
        <w:ind w:left="851" w:hanging="851"/>
        <w:contextualSpacing/>
        <w:jc w:val="left"/>
        <w:rPr>
          <w:b w:val="0"/>
        </w:rPr>
      </w:pPr>
      <w:proofErr w:type="spellStart"/>
      <w:r w:rsidRPr="00800368">
        <w:rPr>
          <w:b w:val="0"/>
        </w:rPr>
        <w:t>Robiyanto</w:t>
      </w:r>
      <w:proofErr w:type="spellEnd"/>
      <w:r w:rsidRPr="00800368">
        <w:rPr>
          <w:b w:val="0"/>
        </w:rPr>
        <w:t>, R. (2017). Testing commodities as a haven and hedging instr</w:t>
      </w:r>
      <w:r w:rsidRPr="00800368">
        <w:rPr>
          <w:b w:val="0"/>
        </w:rPr>
        <w:t xml:space="preserve">ument on ASEAN's five stock markets. </w:t>
      </w:r>
      <w:proofErr w:type="spellStart"/>
      <w:r w:rsidRPr="00800368">
        <w:rPr>
          <w:b w:val="0"/>
          <w:i/>
          <w:iCs/>
        </w:rPr>
        <w:t>Jurnal</w:t>
      </w:r>
      <w:proofErr w:type="spellEnd"/>
      <w:r w:rsidRPr="00800368">
        <w:rPr>
          <w:b w:val="0"/>
          <w:i/>
          <w:iCs/>
        </w:rPr>
        <w:t xml:space="preserve"> </w:t>
      </w:r>
      <w:proofErr w:type="spellStart"/>
      <w:r w:rsidRPr="00800368">
        <w:rPr>
          <w:b w:val="0"/>
          <w:i/>
          <w:iCs/>
        </w:rPr>
        <w:t>Ekonomi</w:t>
      </w:r>
      <w:proofErr w:type="spellEnd"/>
      <w:r w:rsidRPr="00800368">
        <w:rPr>
          <w:b w:val="0"/>
          <w:i/>
          <w:iCs/>
        </w:rPr>
        <w:t xml:space="preserve"> </w:t>
      </w:r>
      <w:proofErr w:type="spellStart"/>
      <w:r w:rsidRPr="00800368">
        <w:rPr>
          <w:b w:val="0"/>
          <w:i/>
          <w:iCs/>
        </w:rPr>
        <w:t>Kuantitatif</w:t>
      </w:r>
      <w:proofErr w:type="spellEnd"/>
      <w:r w:rsidRPr="00800368">
        <w:rPr>
          <w:b w:val="0"/>
          <w:i/>
          <w:iCs/>
        </w:rPr>
        <w:t xml:space="preserve"> </w:t>
      </w:r>
      <w:proofErr w:type="spellStart"/>
      <w:r w:rsidRPr="00800368">
        <w:rPr>
          <w:b w:val="0"/>
          <w:i/>
          <w:iCs/>
        </w:rPr>
        <w:t>Terapan</w:t>
      </w:r>
      <w:proofErr w:type="spellEnd"/>
      <w:r w:rsidRPr="00800368">
        <w:rPr>
          <w:b w:val="0"/>
        </w:rPr>
        <w:t>, </w:t>
      </w:r>
      <w:r w:rsidRPr="00800368">
        <w:rPr>
          <w:b w:val="0"/>
          <w:i/>
          <w:iCs/>
        </w:rPr>
        <w:t>10</w:t>
      </w:r>
      <w:r w:rsidRPr="00800368">
        <w:rPr>
          <w:b w:val="0"/>
        </w:rPr>
        <w:t>(2), 228300.</w:t>
      </w:r>
    </w:p>
    <w:p w:rsidR="003052BE" w:rsidRDefault="00522EED" w:rsidP="00800368">
      <w:pPr>
        <w:ind w:left="851" w:hanging="851"/>
        <w:contextualSpacing/>
        <w:jc w:val="left"/>
        <w:rPr>
          <w:b w:val="0"/>
        </w:rPr>
      </w:pPr>
      <w:r w:rsidRPr="003052BE">
        <w:rPr>
          <w:b w:val="0"/>
        </w:rPr>
        <w:lastRenderedPageBreak/>
        <w:t>Lee, J. (2017). Synergies, risks, and t</w:t>
      </w:r>
      <w:r>
        <w:rPr>
          <w:b w:val="0"/>
        </w:rPr>
        <w:t xml:space="preserve">he regulation of stock exchange </w:t>
      </w:r>
      <w:r w:rsidRPr="003052BE">
        <w:rPr>
          <w:b w:val="0"/>
        </w:rPr>
        <w:t>interconnection. </w:t>
      </w:r>
      <w:r w:rsidRPr="003052BE">
        <w:rPr>
          <w:b w:val="0"/>
          <w:i/>
          <w:iCs/>
        </w:rPr>
        <w:t>Masaryk UJL &amp; Tech.</w:t>
      </w:r>
      <w:r w:rsidRPr="003052BE">
        <w:rPr>
          <w:b w:val="0"/>
        </w:rPr>
        <w:t>, </w:t>
      </w:r>
      <w:r w:rsidRPr="003052BE">
        <w:rPr>
          <w:b w:val="0"/>
          <w:i/>
          <w:iCs/>
        </w:rPr>
        <w:t>11</w:t>
      </w:r>
      <w:r w:rsidRPr="003052BE">
        <w:rPr>
          <w:b w:val="0"/>
        </w:rPr>
        <w:t>, 291.</w:t>
      </w:r>
    </w:p>
    <w:p w:rsidR="003052BE" w:rsidRDefault="00522EED" w:rsidP="00800368">
      <w:pPr>
        <w:ind w:left="851" w:hanging="851"/>
        <w:contextualSpacing/>
        <w:jc w:val="left"/>
        <w:rPr>
          <w:b w:val="0"/>
        </w:rPr>
      </w:pPr>
      <w:r w:rsidRPr="003052BE">
        <w:rPr>
          <w:b w:val="0"/>
        </w:rPr>
        <w:t>CHOW-TAN, H. K., &amp; PEI, S. F. (2019). The financia</w:t>
      </w:r>
      <w:r w:rsidRPr="003052BE">
        <w:rPr>
          <w:b w:val="0"/>
        </w:rPr>
        <w:t>l sector in Singapore.</w:t>
      </w:r>
    </w:p>
    <w:p w:rsidR="003052BE" w:rsidRDefault="00522EED" w:rsidP="00800368">
      <w:pPr>
        <w:ind w:left="851" w:hanging="851"/>
        <w:contextualSpacing/>
        <w:jc w:val="left"/>
        <w:rPr>
          <w:b w:val="0"/>
        </w:rPr>
      </w:pPr>
      <w:proofErr w:type="spellStart"/>
      <w:r w:rsidRPr="003052BE">
        <w:rPr>
          <w:b w:val="0"/>
        </w:rPr>
        <w:t>Iercosan</w:t>
      </w:r>
      <w:proofErr w:type="spellEnd"/>
      <w:r w:rsidRPr="003052BE">
        <w:rPr>
          <w:b w:val="0"/>
        </w:rPr>
        <w:t xml:space="preserve">, D., &amp; </w:t>
      </w:r>
      <w:proofErr w:type="spellStart"/>
      <w:r w:rsidRPr="003052BE">
        <w:rPr>
          <w:b w:val="0"/>
        </w:rPr>
        <w:t>Jiron</w:t>
      </w:r>
      <w:proofErr w:type="spellEnd"/>
      <w:r w:rsidRPr="003052BE">
        <w:rPr>
          <w:b w:val="0"/>
        </w:rPr>
        <w:t xml:space="preserve">, A. (2017). The value of trading relationships and networks in the CDS market. </w:t>
      </w:r>
      <w:r w:rsidRPr="003052BE">
        <w:rPr>
          <w:b w:val="0"/>
          <w:i/>
          <w:iCs/>
        </w:rPr>
        <w:t>Available at SSRN 2901743</w:t>
      </w:r>
      <w:r w:rsidRPr="003052BE">
        <w:rPr>
          <w:b w:val="0"/>
        </w:rPr>
        <w:t>.</w:t>
      </w:r>
    </w:p>
    <w:p w:rsidR="003052BE" w:rsidRDefault="00522EED" w:rsidP="00800368">
      <w:pPr>
        <w:ind w:left="851" w:hanging="851"/>
        <w:contextualSpacing/>
        <w:jc w:val="left"/>
        <w:rPr>
          <w:b w:val="0"/>
        </w:rPr>
      </w:pPr>
      <w:r w:rsidRPr="003052BE">
        <w:rPr>
          <w:b w:val="0"/>
        </w:rPr>
        <w:t>Collier, R., &amp; Devereux, M. P. (2017). The Destination–Based Cash Flow Tax and Double Tax Treaties.</w:t>
      </w:r>
    </w:p>
    <w:p w:rsidR="000B50F0" w:rsidRPr="000B50F0" w:rsidRDefault="00522EED" w:rsidP="000B50F0">
      <w:pPr>
        <w:ind w:left="851" w:hanging="851"/>
        <w:contextualSpacing/>
        <w:jc w:val="left"/>
        <w:rPr>
          <w:b w:val="0"/>
          <w:lang w:val="en-US"/>
        </w:rPr>
      </w:pPr>
      <w:r w:rsidRPr="000B50F0">
        <w:rPr>
          <w:b w:val="0"/>
          <w:lang w:val="en-US"/>
        </w:rPr>
        <w:t>Moffe</w:t>
      </w:r>
      <w:r w:rsidRPr="000B50F0">
        <w:rPr>
          <w:b w:val="0"/>
          <w:lang w:val="en-US"/>
        </w:rPr>
        <w:t xml:space="preserve">tt, M. H., </w:t>
      </w:r>
      <w:proofErr w:type="spellStart"/>
      <w:r w:rsidRPr="000B50F0">
        <w:rPr>
          <w:b w:val="0"/>
          <w:lang w:val="en-US"/>
        </w:rPr>
        <w:t>Stonehill</w:t>
      </w:r>
      <w:proofErr w:type="spellEnd"/>
      <w:r w:rsidRPr="000B50F0">
        <w:rPr>
          <w:b w:val="0"/>
          <w:lang w:val="en-US"/>
        </w:rPr>
        <w:t xml:space="preserve">, A. I., &amp; </w:t>
      </w:r>
      <w:proofErr w:type="spellStart"/>
      <w:r w:rsidRPr="000B50F0">
        <w:rPr>
          <w:b w:val="0"/>
          <w:lang w:val="en-US"/>
        </w:rPr>
        <w:t>Eiteman</w:t>
      </w:r>
      <w:proofErr w:type="spellEnd"/>
      <w:r w:rsidRPr="000B50F0">
        <w:rPr>
          <w:b w:val="0"/>
          <w:lang w:val="en-US"/>
        </w:rPr>
        <w:t>, D. K. (2015). Fundamentals of multinational finance (5th ed.). Boston, MA: Pearson Education. Ch</w:t>
      </w:r>
      <w:r>
        <w:rPr>
          <w:b w:val="0"/>
          <w:lang w:val="en-US"/>
        </w:rPr>
        <w:t>apter 14 &amp; 15.</w:t>
      </w:r>
    </w:p>
    <w:p w:rsidR="000B50F0" w:rsidRPr="003052BE" w:rsidRDefault="000B50F0" w:rsidP="00800368">
      <w:pPr>
        <w:ind w:left="851" w:hanging="851"/>
        <w:contextualSpacing/>
        <w:jc w:val="left"/>
        <w:rPr>
          <w:b w:val="0"/>
        </w:rPr>
      </w:pPr>
    </w:p>
    <w:p w:rsidR="00800368" w:rsidRPr="00800368" w:rsidRDefault="00800368" w:rsidP="00800368">
      <w:pPr>
        <w:ind w:left="851" w:hanging="851"/>
        <w:contextualSpacing/>
        <w:jc w:val="left"/>
        <w:rPr>
          <w:b w:val="0"/>
          <w:lang w:val="en-US"/>
        </w:rPr>
      </w:pPr>
    </w:p>
    <w:p w:rsidR="00172D15" w:rsidRDefault="00172D15" w:rsidP="00172D15">
      <w:pPr>
        <w:ind w:firstLine="720"/>
        <w:contextualSpacing/>
        <w:jc w:val="both"/>
        <w:rPr>
          <w:b w:val="0"/>
        </w:rPr>
      </w:pPr>
    </w:p>
    <w:p w:rsidR="00172D15" w:rsidRDefault="00172D15" w:rsidP="00172D15">
      <w:pPr>
        <w:ind w:firstLine="720"/>
        <w:contextualSpacing/>
        <w:jc w:val="left"/>
        <w:rPr>
          <w:b w:val="0"/>
        </w:rPr>
      </w:pPr>
    </w:p>
    <w:p w:rsidR="0099122E" w:rsidRPr="0099122E" w:rsidRDefault="0099122E" w:rsidP="009D7139">
      <w:pPr>
        <w:contextualSpacing/>
        <w:jc w:val="left"/>
        <w:rPr>
          <w:b w:val="0"/>
        </w:rPr>
      </w:pPr>
    </w:p>
    <w:p w:rsidR="009620B2" w:rsidRPr="009620B2" w:rsidRDefault="009620B2" w:rsidP="009D7139">
      <w:pPr>
        <w:contextualSpacing/>
        <w:jc w:val="left"/>
      </w:pPr>
    </w:p>
    <w:sectPr w:rsidR="009620B2" w:rsidRPr="009620B2">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522EED">
      <w:pPr>
        <w:spacing w:line="240" w:lineRule="auto"/>
      </w:pPr>
      <w:r>
        <w:separator/>
      </w:r>
    </w:p>
  </w:endnote>
  <w:endnote w:type="continuationSeparator" w:id="0">
    <w:p w:rsidR="00000000" w:rsidRDefault="00522E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522EED">
      <w:pPr>
        <w:spacing w:line="240" w:lineRule="auto"/>
      </w:pPr>
      <w:r>
        <w:separator/>
      </w:r>
    </w:p>
  </w:footnote>
  <w:footnote w:type="continuationSeparator" w:id="0">
    <w:p w:rsidR="00000000" w:rsidRDefault="00522EE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05461714"/>
      <w:docPartObj>
        <w:docPartGallery w:val="Page Numbers (Top of Page)"/>
        <w:docPartUnique/>
      </w:docPartObj>
    </w:sdtPr>
    <w:sdtEndPr>
      <w:rPr>
        <w:noProof/>
      </w:rPr>
    </w:sdtEndPr>
    <w:sdtContent>
      <w:p w:rsidR="009D7139" w:rsidRDefault="00522EED">
        <w:pPr>
          <w:pStyle w:val="Header"/>
          <w:jc w:val="right"/>
        </w:pPr>
        <w:r w:rsidRPr="009D7139">
          <w:rPr>
            <w:b w:val="0"/>
          </w:rPr>
          <w:fldChar w:fldCharType="begin"/>
        </w:r>
        <w:r w:rsidRPr="009D7139">
          <w:rPr>
            <w:b w:val="0"/>
          </w:rPr>
          <w:instrText xml:space="preserve"> PAGE   \* MERGEFORMAT </w:instrText>
        </w:r>
        <w:r w:rsidRPr="009D7139">
          <w:rPr>
            <w:b w:val="0"/>
          </w:rPr>
          <w:fldChar w:fldCharType="separate"/>
        </w:r>
        <w:r w:rsidR="000B50F0">
          <w:rPr>
            <w:b w:val="0"/>
            <w:noProof/>
          </w:rPr>
          <w:t>7</w:t>
        </w:r>
        <w:r w:rsidRPr="009D7139">
          <w:rPr>
            <w:b w:val="0"/>
            <w:noProof/>
          </w:rPr>
          <w:fldChar w:fldCharType="end"/>
        </w:r>
      </w:p>
    </w:sdtContent>
  </w:sdt>
  <w:p w:rsidR="009D7139" w:rsidRDefault="009D71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139"/>
    <w:rsid w:val="00064518"/>
    <w:rsid w:val="000B50F0"/>
    <w:rsid w:val="00172D15"/>
    <w:rsid w:val="001B1A13"/>
    <w:rsid w:val="003052BE"/>
    <w:rsid w:val="00476D1A"/>
    <w:rsid w:val="00522EED"/>
    <w:rsid w:val="005A678A"/>
    <w:rsid w:val="007D7BDF"/>
    <w:rsid w:val="00800368"/>
    <w:rsid w:val="008665E1"/>
    <w:rsid w:val="009620B2"/>
    <w:rsid w:val="0099122E"/>
    <w:rsid w:val="009D7139"/>
    <w:rsid w:val="00AC420F"/>
    <w:rsid w:val="00B26BB9"/>
    <w:rsid w:val="00BA15B7"/>
    <w:rsid w:val="00D30E61"/>
    <w:rsid w:val="00F228D3"/>
    <w:rsid w:val="00F84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9AC6FE60-64AC-4B9D-9398-25C16A8AF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b/>
        <w:sz w:val="24"/>
        <w:szCs w:val="24"/>
        <w:lang w:val="en-GB" w:eastAsia="en-US" w:bidi="ar-SA"/>
      </w:rPr>
    </w:rPrDefault>
    <w:pPrDefault>
      <w:pPr>
        <w:spacing w:line="48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7139"/>
    <w:pPr>
      <w:tabs>
        <w:tab w:val="center" w:pos="4513"/>
        <w:tab w:val="right" w:pos="9026"/>
      </w:tabs>
      <w:spacing w:line="240" w:lineRule="auto"/>
    </w:pPr>
  </w:style>
  <w:style w:type="character" w:customStyle="1" w:styleId="HeaderChar">
    <w:name w:val="Header Char"/>
    <w:basedOn w:val="DefaultParagraphFont"/>
    <w:link w:val="Header"/>
    <w:uiPriority w:val="99"/>
    <w:rsid w:val="009D7139"/>
  </w:style>
  <w:style w:type="paragraph" w:styleId="Footer">
    <w:name w:val="footer"/>
    <w:basedOn w:val="Normal"/>
    <w:link w:val="FooterChar"/>
    <w:uiPriority w:val="99"/>
    <w:unhideWhenUsed/>
    <w:rsid w:val="009D7139"/>
    <w:pPr>
      <w:tabs>
        <w:tab w:val="center" w:pos="4513"/>
        <w:tab w:val="right" w:pos="9026"/>
      </w:tabs>
      <w:spacing w:line="240" w:lineRule="auto"/>
    </w:pPr>
  </w:style>
  <w:style w:type="character" w:customStyle="1" w:styleId="FooterChar">
    <w:name w:val="Footer Char"/>
    <w:basedOn w:val="DefaultParagraphFont"/>
    <w:link w:val="Footer"/>
    <w:uiPriority w:val="99"/>
    <w:rsid w:val="009D7139"/>
  </w:style>
  <w:style w:type="character" w:styleId="Hyperlink">
    <w:name w:val="Hyperlink"/>
    <w:basedOn w:val="DefaultParagraphFont"/>
    <w:uiPriority w:val="99"/>
    <w:unhideWhenUsed/>
    <w:rsid w:val="00172D1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mpus.ctuonline.edu/" TargetMode="External" /><Relationship Id="rId3" Type="http://schemas.openxmlformats.org/officeDocument/2006/relationships/webSettings" Target="webSettings.xml" /><Relationship Id="rId7" Type="http://schemas.openxmlformats.org/officeDocument/2006/relationships/hyperlink" Target="https://classroom.coloradotech.edu/ConexusRedirect/971515/classroom"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www.theglobaleconomy.com/Jamaica"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2064</Words>
  <Characters>11769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mbindyo</dc:creator>
  <cp:lastModifiedBy>254716226303</cp:lastModifiedBy>
  <cp:revision>2</cp:revision>
  <dcterms:created xsi:type="dcterms:W3CDTF">2021-01-14T15:26:00Z</dcterms:created>
  <dcterms:modified xsi:type="dcterms:W3CDTF">2021-01-14T15:26:00Z</dcterms:modified>
</cp:coreProperties>
</file>